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jc w:val="center"/>
        <w:rPr>
          <w:b w:val="1"/>
          <w:i w:val="1"/>
          <w:sz w:val="28"/>
          <w:szCs w:val="28"/>
        </w:rPr>
      </w:pPr>
      <w:r w:rsidDel="00000000" w:rsidR="00000000" w:rsidRPr="00000000">
        <w:rPr>
          <w:b w:val="1"/>
          <w:i w:val="1"/>
          <w:sz w:val="20"/>
          <w:szCs w:val="20"/>
          <w:rtl w:val="0"/>
        </w:rPr>
        <w:t xml:space="preserve">This document has a tiny URL: </w:t>
      </w:r>
      <w:hyperlink r:id="rId6">
        <w:r w:rsidDel="00000000" w:rsidR="00000000" w:rsidRPr="00000000">
          <w:rPr>
            <w:b w:val="1"/>
            <w:i w:val="1"/>
            <w:sz w:val="28"/>
            <w:szCs w:val="28"/>
            <w:u w:val="single"/>
            <w:rtl w:val="0"/>
          </w:rPr>
          <w:t xml:space="preserve">tinyurl.com/qualityhighered</w:t>
        </w:r>
      </w:hyperlink>
      <w:r w:rsidDel="00000000" w:rsidR="00000000" w:rsidRPr="00000000">
        <w:rPr>
          <w:rtl w:val="0"/>
        </w:rPr>
      </w:r>
    </w:p>
    <w:p w:rsidR="00000000" w:rsidDel="00000000" w:rsidP="00000000" w:rsidRDefault="00000000" w:rsidRPr="00000000" w14:paraId="00000001">
      <w:pPr>
        <w:contextualSpacing w:val="0"/>
        <w:jc w:val="center"/>
        <w:rPr>
          <w:b w:val="1"/>
          <w:color w:val="073763"/>
          <w:sz w:val="32"/>
          <w:szCs w:val="32"/>
        </w:rPr>
      </w:pPr>
      <w:r w:rsidDel="00000000" w:rsidR="00000000" w:rsidRPr="00000000">
        <w:rPr>
          <w:rtl w:val="0"/>
        </w:rPr>
      </w:r>
    </w:p>
    <w:p w:rsidR="00000000" w:rsidDel="00000000" w:rsidP="00000000" w:rsidRDefault="00000000" w:rsidRPr="00000000" w14:paraId="00000002">
      <w:pPr>
        <w:contextualSpacing w:val="0"/>
        <w:jc w:val="center"/>
        <w:rPr>
          <w:b w:val="1"/>
          <w:color w:val="073763"/>
          <w:sz w:val="32"/>
          <w:szCs w:val="32"/>
        </w:rPr>
      </w:pPr>
      <w:r w:rsidDel="00000000" w:rsidR="00000000" w:rsidRPr="00000000">
        <w:rPr>
          <w:b w:val="1"/>
          <w:color w:val="073763"/>
          <w:sz w:val="32"/>
          <w:szCs w:val="32"/>
          <w:rtl w:val="0"/>
        </w:rPr>
        <w:t xml:space="preserve">Actual Quality Processes in </w:t>
      </w:r>
    </w:p>
    <w:p w:rsidR="00000000" w:rsidDel="00000000" w:rsidP="00000000" w:rsidRDefault="00000000" w:rsidRPr="00000000" w14:paraId="00000003">
      <w:pPr>
        <w:contextualSpacing w:val="0"/>
        <w:jc w:val="center"/>
        <w:rPr>
          <w:b w:val="1"/>
          <w:color w:val="073763"/>
          <w:sz w:val="32"/>
          <w:szCs w:val="32"/>
        </w:rPr>
      </w:pPr>
      <w:r w:rsidDel="00000000" w:rsidR="00000000" w:rsidRPr="00000000">
        <w:rPr>
          <w:b w:val="1"/>
          <w:color w:val="073763"/>
          <w:sz w:val="32"/>
          <w:szCs w:val="32"/>
          <w:rtl w:val="0"/>
        </w:rPr>
        <w:t xml:space="preserve">Distance and Online Education </w:t>
      </w:r>
    </w:p>
    <w:p w:rsidR="00000000" w:rsidDel="00000000" w:rsidP="00000000" w:rsidRDefault="00000000" w:rsidRPr="00000000" w14:paraId="00000004">
      <w:pPr>
        <w:contextualSpacing w:val="0"/>
        <w:jc w:val="center"/>
        <w:rPr>
          <w:b w:val="1"/>
          <w:color w:val="073763"/>
          <w:sz w:val="32"/>
          <w:szCs w:val="32"/>
        </w:rPr>
      </w:pPr>
      <w:r w:rsidDel="00000000" w:rsidR="00000000" w:rsidRPr="00000000">
        <w:rPr>
          <w:b w:val="1"/>
          <w:color w:val="073763"/>
          <w:sz w:val="32"/>
          <w:szCs w:val="32"/>
          <w:rtl w:val="0"/>
        </w:rPr>
        <w:t xml:space="preserve">in Higher Education </w:t>
      </w:r>
    </w:p>
    <w:p w:rsidR="00000000" w:rsidDel="00000000" w:rsidP="00000000" w:rsidRDefault="00000000" w:rsidRPr="00000000" w14:paraId="00000005">
      <w:pPr>
        <w:contextualSpacing w:val="0"/>
        <w:jc w:val="center"/>
        <w:rPr>
          <w:b w:val="1"/>
          <w:color w:val="073763"/>
          <w:sz w:val="32"/>
          <w:szCs w:val="32"/>
        </w:rPr>
      </w:pPr>
      <w:r w:rsidDel="00000000" w:rsidR="00000000" w:rsidRPr="00000000">
        <w:rPr>
          <w:b w:val="1"/>
          <w:color w:val="073763"/>
          <w:sz w:val="32"/>
          <w:szCs w:val="32"/>
          <w:rtl w:val="0"/>
        </w:rPr>
        <w:t xml:space="preserve">in Oceania</w:t>
      </w:r>
    </w:p>
    <w:p w:rsidR="00000000" w:rsidDel="00000000" w:rsidP="00000000" w:rsidRDefault="00000000" w:rsidRPr="00000000" w14:paraId="00000006">
      <w:pPr>
        <w:contextualSpacing w:val="0"/>
        <w:jc w:val="center"/>
        <w:rPr>
          <w:b w:val="1"/>
          <w:color w:val="073763"/>
          <w:sz w:val="32"/>
          <w:szCs w:val="32"/>
        </w:rPr>
      </w:pPr>
      <w:r w:rsidDel="00000000" w:rsidR="00000000" w:rsidRPr="00000000">
        <w:rPr>
          <w:rtl w:val="0"/>
        </w:rPr>
      </w:r>
    </w:p>
    <w:p w:rsidR="00000000" w:rsidDel="00000000" w:rsidP="00000000" w:rsidRDefault="00000000" w:rsidRPr="00000000" w14:paraId="00000007">
      <w:pPr>
        <w:contextualSpacing w:val="0"/>
        <w:jc w:val="center"/>
        <w:rPr>
          <w:b w:val="1"/>
          <w:color w:val="ff0000"/>
          <w:sz w:val="32"/>
          <w:szCs w:val="32"/>
        </w:rPr>
      </w:pPr>
      <w:r w:rsidDel="00000000" w:rsidR="00000000" w:rsidRPr="00000000">
        <w:rPr>
          <w:b w:val="1"/>
          <w:color w:val="ff0000"/>
          <w:sz w:val="32"/>
          <w:szCs w:val="32"/>
          <w:rtl w:val="0"/>
        </w:rPr>
        <w:t xml:space="preserve">What is currently happening at your institution re “quality”?</w:t>
      </w:r>
    </w:p>
    <w:p w:rsidR="00000000" w:rsidDel="00000000" w:rsidP="00000000" w:rsidRDefault="00000000" w:rsidRPr="00000000" w14:paraId="00000008">
      <w:pPr>
        <w:contextualSpacing w:val="0"/>
        <w:jc w:val="center"/>
        <w:rPr>
          <w:b w:val="1"/>
          <w:color w:val="ff0000"/>
          <w:sz w:val="32"/>
          <w:szCs w:val="32"/>
        </w:rPr>
      </w:pPr>
      <w:r w:rsidDel="00000000" w:rsidR="00000000" w:rsidRPr="00000000">
        <w:rPr>
          <w:rtl w:val="0"/>
        </w:rPr>
      </w:r>
    </w:p>
    <w:p w:rsidR="00000000" w:rsidDel="00000000" w:rsidP="00000000" w:rsidRDefault="00000000" w:rsidRPr="00000000" w14:paraId="00000009">
      <w:pPr>
        <w:contextualSpacing w:val="0"/>
        <w:rPr>
          <w:b w:val="1"/>
          <w:color w:val="073763"/>
        </w:rPr>
      </w:pPr>
      <w:r w:rsidDel="00000000" w:rsidR="00000000" w:rsidRPr="00000000">
        <w:rPr>
          <w:color w:val="073763"/>
          <w:rtl w:val="0"/>
        </w:rPr>
        <w:t xml:space="preserve">This document is used in conjunction with the webinar “</w:t>
      </w:r>
      <w:r w:rsidDel="00000000" w:rsidR="00000000" w:rsidRPr="00000000">
        <w:rPr>
          <w:i w:val="1"/>
          <w:color w:val="073763"/>
          <w:rtl w:val="0"/>
        </w:rPr>
        <w:t xml:space="preserve">Perspectives on Quality Processes in Distance and Online Education In Higher Education in Oceania</w:t>
      </w:r>
      <w:r w:rsidDel="00000000" w:rsidR="00000000" w:rsidRPr="00000000">
        <w:rPr>
          <w:color w:val="073763"/>
          <w:rtl w:val="0"/>
        </w:rPr>
        <w:t xml:space="preserve">” on 30 November 2017, of which the recording is available at </w:t>
      </w:r>
      <w:hyperlink r:id="rId7">
        <w:r w:rsidDel="00000000" w:rsidR="00000000" w:rsidRPr="00000000">
          <w:rPr>
            <w:b w:val="1"/>
            <w:color w:val="1155cc"/>
            <w:u w:val="single"/>
            <w:rtl w:val="0"/>
          </w:rPr>
          <w:t xml:space="preserve">https://youtu.be/j69QiNJco-c</w:t>
        </w:r>
      </w:hyperlink>
      <w:r w:rsidDel="00000000" w:rsidR="00000000" w:rsidRPr="00000000">
        <w:rPr>
          <w:b w:val="1"/>
          <w:color w:val="073763"/>
          <w:rtl w:val="0"/>
        </w:rPr>
        <w:t xml:space="preserve"> </w:t>
      </w:r>
    </w:p>
    <w:p w:rsidR="00000000" w:rsidDel="00000000" w:rsidP="00000000" w:rsidRDefault="00000000" w:rsidRPr="00000000" w14:paraId="0000000A">
      <w:pPr>
        <w:contextualSpacing w:val="0"/>
        <w:rPr>
          <w:color w:val="073763"/>
        </w:rPr>
      </w:pPr>
      <w:r w:rsidDel="00000000" w:rsidR="00000000" w:rsidRPr="00000000">
        <w:rPr>
          <w:rtl w:val="0"/>
        </w:rPr>
      </w:r>
    </w:p>
    <w:p w:rsidR="00000000" w:rsidDel="00000000" w:rsidP="00000000" w:rsidRDefault="00000000" w:rsidRPr="00000000" w14:paraId="0000000B">
      <w:pPr>
        <w:contextualSpacing w:val="0"/>
        <w:rPr>
          <w:color w:val="073763"/>
        </w:rPr>
      </w:pPr>
      <w:r w:rsidDel="00000000" w:rsidR="00000000" w:rsidRPr="00000000">
        <w:rPr>
          <w:color w:val="073763"/>
          <w:rtl w:val="0"/>
        </w:rPr>
        <w:t xml:space="preserve">The slides of the four presenters are available for viewing here:</w:t>
      </w:r>
    </w:p>
    <w:p w:rsidR="00000000" w:rsidDel="00000000" w:rsidP="00000000" w:rsidRDefault="00000000" w:rsidRPr="00000000" w14:paraId="0000000C">
      <w:pPr>
        <w:ind w:left="720" w:firstLine="0"/>
        <w:contextualSpacing w:val="0"/>
        <w:rPr>
          <w:color w:val="073763"/>
        </w:rPr>
      </w:pPr>
      <w:hyperlink r:id="rId8">
        <w:r w:rsidDel="00000000" w:rsidR="00000000" w:rsidRPr="00000000">
          <w:rPr>
            <w:color w:val="1155cc"/>
            <w:u w:val="single"/>
            <w:rtl w:val="0"/>
          </w:rPr>
          <w:t xml:space="preserve">https://docs.google.com/presentation/d/17SiTM_6T0ZTeMQqv1CMOMvjiFqzqb5oGxDqXpf_XdUU/edit?usp=sharing</w:t>
        </w:r>
      </w:hyperlink>
      <w:r w:rsidDel="00000000" w:rsidR="00000000" w:rsidRPr="00000000">
        <w:rPr>
          <w:rtl w:val="0"/>
        </w:rPr>
      </w:r>
    </w:p>
    <w:p w:rsidR="00000000" w:rsidDel="00000000" w:rsidP="00000000" w:rsidRDefault="00000000" w:rsidRPr="00000000" w14:paraId="0000000D">
      <w:pPr>
        <w:ind w:left="720" w:firstLine="0"/>
        <w:contextualSpacing w:val="0"/>
        <w:rPr>
          <w:color w:val="073763"/>
        </w:rPr>
      </w:pPr>
      <w:hyperlink r:id="rId9">
        <w:r w:rsidDel="00000000" w:rsidR="00000000" w:rsidRPr="00000000">
          <w:rPr>
            <w:color w:val="1155cc"/>
            <w:u w:val="single"/>
            <w:rtl w:val="0"/>
          </w:rPr>
          <w:t xml:space="preserve">https://docs.google.com/p</w:t>
        </w:r>
      </w:hyperlink>
      <w:r w:rsidDel="00000000" w:rsidR="00000000" w:rsidRPr="00000000">
        <w:fldChar w:fldCharType="begin"/>
        <w:instrText xml:space="preserve"> HYPERLINK "https://docs.google.com/presentation/d/1QiEPsYHoNEKzCVH2iclhIk7uFx-UoaW13qlNKUdFKVY/edit?usp=sharing" </w:instrText>
        <w:fldChar w:fldCharType="separate"/>
      </w:r>
      <w:r w:rsidDel="00000000" w:rsidR="00000000" w:rsidRPr="00000000">
        <w:rPr>
          <w:rtl w:val="0"/>
        </w:rPr>
      </w:r>
    </w:p>
    <w:p w:rsidR="00000000" w:rsidDel="00000000" w:rsidP="00000000" w:rsidRDefault="00000000" w:rsidRPr="00000000" w14:paraId="0000000E">
      <w:pPr>
        <w:ind w:left="720" w:firstLine="0"/>
        <w:contextualSpacing w:val="0"/>
        <w:rPr>
          <w:color w:val="073763"/>
        </w:rPr>
      </w:pPr>
      <w:r w:rsidDel="00000000" w:rsidR="00000000" w:rsidRPr="00000000">
        <w:fldChar w:fldCharType="end"/>
      </w:r>
      <w:hyperlink r:id="rId10">
        <w:r w:rsidDel="00000000" w:rsidR="00000000" w:rsidRPr="00000000">
          <w:rPr>
            <w:color w:val="1155cc"/>
            <w:u w:val="single"/>
            <w:rtl w:val="0"/>
          </w:rPr>
          <w:t xml:space="preserve">resentation/d/1QiEPsYHoNEKzCVH2iclhIk7uFx-UoaW13qlNKUdFKVY/edit?usp=sharing</w:t>
        </w:r>
      </w:hyperlink>
      <w:hyperlink r:id="rId11">
        <w:r w:rsidDel="00000000" w:rsidR="00000000" w:rsidRPr="00000000">
          <w:rPr>
            <w:color w:val="1155cc"/>
            <w:u w:val="single"/>
            <w:rtl w:val="0"/>
          </w:rPr>
          <w:t xml:space="preserve">https://docs.google.com/presentation/d/1mUjCYV649OH4ern-PU7y4ddZAvYuGJQscETQCp7JjKc/edit?usp=sharing</w:t>
        </w:r>
      </w:hyperlink>
      <w:r w:rsidDel="00000000" w:rsidR="00000000" w:rsidRPr="00000000">
        <w:rPr>
          <w:rtl w:val="0"/>
        </w:rPr>
      </w:r>
    </w:p>
    <w:p w:rsidR="00000000" w:rsidDel="00000000" w:rsidP="00000000" w:rsidRDefault="00000000" w:rsidRPr="00000000" w14:paraId="0000000F">
      <w:pPr>
        <w:ind w:left="720" w:firstLine="0"/>
        <w:contextualSpacing w:val="0"/>
        <w:rPr>
          <w:color w:val="073763"/>
        </w:rPr>
      </w:pPr>
      <w:hyperlink r:id="rId12">
        <w:r w:rsidDel="00000000" w:rsidR="00000000" w:rsidRPr="00000000">
          <w:rPr>
            <w:color w:val="1155cc"/>
            <w:u w:val="single"/>
            <w:rtl w:val="0"/>
          </w:rPr>
          <w:t xml:space="preserve">https://docs.google.com/presentation/d/1dFCBodtbOZuwiEGhmJ6WyByCJ7xwkNragd3fc1O14H0/edit?usp=sharing</w:t>
        </w:r>
      </w:hyperlink>
      <w:r w:rsidDel="00000000" w:rsidR="00000000" w:rsidRPr="00000000">
        <w:rPr>
          <w:rtl w:val="0"/>
        </w:rPr>
      </w:r>
    </w:p>
    <w:p w:rsidR="00000000" w:rsidDel="00000000" w:rsidP="00000000" w:rsidRDefault="00000000" w:rsidRPr="00000000" w14:paraId="00000010">
      <w:pPr>
        <w:contextualSpacing w:val="0"/>
        <w:rPr>
          <w:color w:val="073763"/>
        </w:rPr>
      </w:pPr>
      <w:r w:rsidDel="00000000" w:rsidR="00000000" w:rsidRPr="00000000">
        <w:rPr>
          <w:rtl w:val="0"/>
        </w:rPr>
      </w:r>
    </w:p>
    <w:p w:rsidR="00000000" w:rsidDel="00000000" w:rsidP="00000000" w:rsidRDefault="00000000" w:rsidRPr="00000000" w14:paraId="00000011">
      <w:pPr>
        <w:contextualSpacing w:val="0"/>
        <w:jc w:val="center"/>
        <w:rPr>
          <w:b w:val="1"/>
          <w:i w:val="1"/>
          <w:color w:val="073763"/>
        </w:rPr>
      </w:pPr>
      <w:r w:rsidDel="00000000" w:rsidR="00000000" w:rsidRPr="00000000">
        <w:rPr>
          <w:b w:val="1"/>
          <w:i w:val="1"/>
          <w:color w:val="073763"/>
          <w:rtl w:val="0"/>
        </w:rPr>
        <w:t xml:space="preserve">… now, please add your institution’s “story” below! Thank you</w:t>
      </w:r>
    </w:p>
    <w:p w:rsidR="00000000" w:rsidDel="00000000" w:rsidP="00000000" w:rsidRDefault="00000000" w:rsidRPr="00000000" w14:paraId="00000012">
      <w:pPr>
        <w:contextualSpacing w:val="0"/>
        <w:rPr>
          <w:color w:val="073763"/>
        </w:rPr>
      </w:pPr>
      <w:r w:rsidDel="00000000" w:rsidR="00000000" w:rsidRPr="00000000">
        <w:br w:type="page"/>
      </w:r>
      <w:r w:rsidDel="00000000" w:rsidR="00000000" w:rsidRPr="00000000">
        <w:rPr>
          <w:rtl w:val="0"/>
        </w:rPr>
      </w:r>
    </w:p>
    <w:p w:rsidR="00000000" w:rsidDel="00000000" w:rsidP="00000000" w:rsidRDefault="00000000" w:rsidRPr="00000000" w14:paraId="00000013">
      <w:pPr>
        <w:contextualSpacing w:val="0"/>
        <w:rPr>
          <w:color w:val="073763"/>
        </w:rPr>
      </w:pPr>
      <w:r w:rsidDel="00000000" w:rsidR="00000000" w:rsidRPr="00000000">
        <w:rPr>
          <w:rtl w:val="0"/>
        </w:rPr>
      </w:r>
    </w:p>
    <w:p w:rsidR="00000000" w:rsidDel="00000000" w:rsidP="00000000" w:rsidRDefault="00000000" w:rsidRPr="00000000" w14:paraId="00000014">
      <w:pPr>
        <w:contextualSpacing w:val="0"/>
        <w:rPr>
          <w:color w:val="073763"/>
        </w:rPr>
      </w:pPr>
      <w:r w:rsidDel="00000000" w:rsidR="00000000" w:rsidRPr="00000000">
        <w:rPr>
          <w:rtl w:val="0"/>
        </w:rPr>
      </w:r>
    </w:p>
    <w:tbl>
      <w:tblPr>
        <w:tblStyle w:val="Table1"/>
        <w:tblW w:w="15045.0" w:type="dxa"/>
        <w:jc w:val="left"/>
        <w:tblInd w:w="-93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00"/>
        <w:gridCol w:w="1275"/>
        <w:gridCol w:w="3255"/>
        <w:gridCol w:w="1380"/>
        <w:gridCol w:w="1815"/>
        <w:gridCol w:w="1845"/>
        <w:gridCol w:w="2025"/>
        <w:gridCol w:w="1950"/>
        <w:tblGridChange w:id="0">
          <w:tblGrid>
            <w:gridCol w:w="1500"/>
            <w:gridCol w:w="1275"/>
            <w:gridCol w:w="3255"/>
            <w:gridCol w:w="1380"/>
            <w:gridCol w:w="1815"/>
            <w:gridCol w:w="1845"/>
            <w:gridCol w:w="2025"/>
            <w:gridCol w:w="1950"/>
          </w:tblGrid>
        </w:tblGridChange>
      </w:tblGrid>
      <w:tr>
        <w:tc>
          <w:tcPr>
            <w:shd w:fill="cfe2f3"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b w:val="1"/>
                <w:color w:val="073763"/>
                <w:sz w:val="20"/>
                <w:szCs w:val="20"/>
              </w:rPr>
            </w:pPr>
            <w:r w:rsidDel="00000000" w:rsidR="00000000" w:rsidRPr="00000000">
              <w:rPr>
                <w:b w:val="1"/>
                <w:color w:val="073763"/>
                <w:sz w:val="20"/>
                <w:szCs w:val="20"/>
                <w:rtl w:val="0"/>
              </w:rPr>
              <w:t xml:space="preserve">Institution</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b w:val="1"/>
                <w:color w:val="073763"/>
                <w:sz w:val="20"/>
                <w:szCs w:val="20"/>
              </w:rPr>
            </w:pPr>
            <w:r w:rsidDel="00000000" w:rsidR="00000000" w:rsidRPr="00000000">
              <w:rPr>
                <w:b w:val="1"/>
                <w:color w:val="073763"/>
                <w:sz w:val="20"/>
                <w:szCs w:val="20"/>
                <w:rtl w:val="0"/>
              </w:rPr>
              <w:t xml:space="preserve">Your name</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b w:val="1"/>
                <w:color w:val="1f4e79"/>
                <w:sz w:val="20"/>
                <w:szCs w:val="20"/>
              </w:rPr>
            </w:pPr>
            <w:r w:rsidDel="00000000" w:rsidR="00000000" w:rsidRPr="00000000">
              <w:rPr>
                <w:b w:val="1"/>
                <w:color w:val="1f4e79"/>
                <w:sz w:val="20"/>
                <w:szCs w:val="20"/>
                <w:rtl w:val="0"/>
              </w:rPr>
              <w:t xml:space="preserve">Description of </w:t>
            </w:r>
            <w:r w:rsidDel="00000000" w:rsidR="00000000" w:rsidRPr="00000000">
              <w:rPr>
                <w:b w:val="1"/>
                <w:color w:val="1f4e79"/>
                <w:sz w:val="20"/>
                <w:szCs w:val="20"/>
                <w:rtl w:val="0"/>
              </w:rPr>
              <w:t xml:space="preserve">Quality initiative</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b w:val="1"/>
                <w:color w:val="1f4e79"/>
                <w:sz w:val="20"/>
                <w:szCs w:val="20"/>
              </w:rPr>
            </w:pPr>
            <w:r w:rsidDel="00000000" w:rsidR="00000000" w:rsidRPr="00000000">
              <w:rPr>
                <w:b w:val="1"/>
                <w:color w:val="1f4e79"/>
                <w:sz w:val="20"/>
                <w:szCs w:val="20"/>
                <w:rtl w:val="0"/>
              </w:rPr>
              <w:t xml:space="preserve">Aim</w:t>
            </w:r>
          </w:p>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b w:val="1"/>
                <w:color w:val="073763"/>
                <w:sz w:val="20"/>
                <w:szCs w:val="20"/>
              </w:rPr>
            </w:pPr>
            <w:r w:rsidDel="00000000" w:rsidR="00000000" w:rsidRPr="00000000">
              <w:rPr>
                <w:rtl w:val="0"/>
              </w:rPr>
            </w:r>
          </w:p>
        </w:tc>
        <w:tc>
          <w:tcPr>
            <w:shd w:fill="cfe2f3"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b w:val="1"/>
                <w:color w:val="1f4e79"/>
                <w:sz w:val="20"/>
                <w:szCs w:val="20"/>
              </w:rPr>
            </w:pPr>
            <w:r w:rsidDel="00000000" w:rsidR="00000000" w:rsidRPr="00000000">
              <w:rPr>
                <w:b w:val="1"/>
                <w:color w:val="1f4e79"/>
                <w:sz w:val="20"/>
                <w:szCs w:val="20"/>
                <w:rtl w:val="0"/>
              </w:rPr>
              <w:t xml:space="preserve">Strengths</w:t>
            </w:r>
            <w:r w:rsidDel="00000000" w:rsidR="00000000" w:rsidRPr="00000000">
              <w:rPr>
                <w:rtl w:val="0"/>
              </w:rPr>
            </w:r>
          </w:p>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b w:val="1"/>
                <w:color w:val="073763"/>
                <w:sz w:val="20"/>
                <w:szCs w:val="20"/>
              </w:rPr>
            </w:pPr>
            <w:r w:rsidDel="00000000" w:rsidR="00000000" w:rsidRPr="00000000">
              <w:rPr>
                <w:rtl w:val="0"/>
              </w:rPr>
            </w:r>
          </w:p>
        </w:tc>
        <w:tc>
          <w:tcPr>
            <w:shd w:fill="cfe2f3"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b w:val="1"/>
                <w:color w:val="1f4e79"/>
                <w:sz w:val="20"/>
                <w:szCs w:val="20"/>
              </w:rPr>
            </w:pPr>
            <w:r w:rsidDel="00000000" w:rsidR="00000000" w:rsidRPr="00000000">
              <w:rPr>
                <w:b w:val="1"/>
                <w:color w:val="1f4e79"/>
                <w:sz w:val="20"/>
                <w:szCs w:val="20"/>
                <w:rtl w:val="0"/>
              </w:rPr>
              <w:t xml:space="preserve">Weaknesses</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b w:val="1"/>
                <w:color w:val="1f4e79"/>
                <w:sz w:val="20"/>
                <w:szCs w:val="20"/>
              </w:rPr>
            </w:pPr>
            <w:r w:rsidDel="00000000" w:rsidR="00000000" w:rsidRPr="00000000">
              <w:rPr>
                <w:b w:val="1"/>
                <w:color w:val="1f4e79"/>
                <w:sz w:val="20"/>
                <w:szCs w:val="20"/>
                <w:rtl w:val="0"/>
              </w:rPr>
              <w:t xml:space="preserve">Opportunities</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b w:val="1"/>
                <w:color w:val="1f4e79"/>
                <w:sz w:val="20"/>
                <w:szCs w:val="20"/>
              </w:rPr>
            </w:pPr>
            <w:r w:rsidDel="00000000" w:rsidR="00000000" w:rsidRPr="00000000">
              <w:rPr>
                <w:b w:val="1"/>
                <w:color w:val="1f4e79"/>
                <w:sz w:val="20"/>
                <w:szCs w:val="20"/>
                <w:rtl w:val="0"/>
              </w:rPr>
              <w:t xml:space="preserve">Threats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Charles Sturt University, Australia</w:t>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Elizabeth Thomson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Charles Sturt University has introduced a university-wide, collaborative course design process (CDP) to address quality in course and subject design, development and delivery.  Through a process of backward mapping, learning outcomes, learning experiences and authentic assessment, tasks are aligned with a set of graduate attributes comprising both industry and professional standards.This process is enabled by the development of a bespoke design software programme </w:t>
            </w:r>
            <w:r w:rsidDel="00000000" w:rsidR="00000000" w:rsidRPr="00000000">
              <w:rPr>
                <w:i w:val="1"/>
                <w:color w:val="073763"/>
                <w:sz w:val="20"/>
                <w:szCs w:val="20"/>
                <w:rtl w:val="0"/>
              </w:rPr>
              <w:t xml:space="preserve">CourseSpace©</w:t>
            </w:r>
            <w:r w:rsidDel="00000000" w:rsidR="00000000" w:rsidRPr="00000000">
              <w:rPr>
                <w:color w:val="073763"/>
                <w:sz w:val="20"/>
                <w:szCs w:val="20"/>
                <w:rtl w:val="0"/>
              </w:rPr>
              <w:t xml:space="preserve"> (CSU &amp; Bain 2012). This platform enables transparent and informed backward course design. The software comprises  design components that enable a team to collaboratively create and evaluate a course, and submit the course for internal accreditation. It is a dynamic tool that enables building course components, mapping and asynchronous feedback at all stages of the process and facilitates the active engagement of all stakeholders.</w:t>
            </w:r>
            <w:r w:rsidDel="00000000" w:rsidR="00000000" w:rsidRPr="00000000">
              <w:rPr>
                <w:color w:val="073763"/>
                <w:sz w:val="20"/>
                <w:szCs w:val="20"/>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High quality design of programs; enhanced student learning experience; evidenced-based auditability of university courses and subjects;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Collaboration and interdisciplinarity;</w:t>
            </w:r>
          </w:p>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Consensus of design;</w:t>
            </w:r>
          </w:p>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Mapping of assessments to outcomes;</w:t>
            </w:r>
          </w:p>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Evidence of alignment for accreditation</w:t>
            </w:r>
          </w:p>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widowControl w:val="0"/>
              <w:spacing w:line="256.8" w:lineRule="auto"/>
              <w:contextualSpacing w:val="0"/>
              <w:rPr>
                <w:color w:val="073763"/>
                <w:sz w:val="20"/>
                <w:szCs w:val="20"/>
              </w:rPr>
            </w:pPr>
            <w:r w:rsidDel="00000000" w:rsidR="00000000" w:rsidRPr="00000000">
              <w:rPr>
                <w:color w:val="073763"/>
                <w:sz w:val="20"/>
                <w:szCs w:val="20"/>
                <w:rtl w:val="0"/>
              </w:rPr>
              <w:t xml:space="preserve">Workload allocation, timescale for completion, integration with other systems, governance/approval  structure;  </w:t>
            </w:r>
          </w:p>
          <w:p w:rsidR="00000000" w:rsidDel="00000000" w:rsidP="00000000" w:rsidRDefault="00000000" w:rsidRPr="00000000" w14:paraId="00000029">
            <w:pPr>
              <w:widowControl w:val="0"/>
              <w:spacing w:line="256.8" w:lineRule="auto"/>
              <w:contextualSpacing w:val="0"/>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widowControl w:val="0"/>
              <w:spacing w:line="240" w:lineRule="auto"/>
              <w:contextualSpacing w:val="0"/>
              <w:rPr>
                <w:color w:val="073763"/>
                <w:sz w:val="20"/>
                <w:szCs w:val="20"/>
              </w:rPr>
            </w:pPr>
            <w:r w:rsidDel="00000000" w:rsidR="00000000" w:rsidRPr="00000000">
              <w:rPr>
                <w:color w:val="073763"/>
                <w:sz w:val="20"/>
                <w:szCs w:val="20"/>
                <w:rtl w:val="0"/>
              </w:rPr>
              <w:t xml:space="preserve">Improved user interface; ongoing software modifications; developing educational leadership of course directors; improved integration with Subject outline and course and subject databases; commercialisation.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widowControl w:val="0"/>
              <w:spacing w:line="240" w:lineRule="auto"/>
              <w:contextualSpacing w:val="0"/>
              <w:rPr>
                <w:color w:val="073763"/>
                <w:sz w:val="20"/>
                <w:szCs w:val="20"/>
              </w:rPr>
            </w:pPr>
            <w:r w:rsidDel="00000000" w:rsidR="00000000" w:rsidRPr="00000000">
              <w:rPr>
                <w:color w:val="073763"/>
                <w:sz w:val="20"/>
                <w:szCs w:val="20"/>
                <w:rtl w:val="0"/>
              </w:rPr>
              <w:t xml:space="preserve">Workload allocations particularly in relation to course design work; commitment to the process across the University</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Justice Institute of British Columbia, Canada</w:t>
            </w:r>
          </w:p>
        </w:tc>
        <w:tc>
          <w:tcPr>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Tannis Morgan</w:t>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Using the JIBC student lifelong learning trajectory as a framework for innovative online and blended learning that is applied and experiential.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Innovative quality design of programs that recognizes the importance of mobile, open, and microlearning for adult learners in our disciplines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Puts the student at the centre of the quality conversation, and is a more macro view of addressing quality. Provides a more focussed approach to innovation as opposed to a must-do-everything approach.</w:t>
            </w:r>
          </w:p>
        </w:tc>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It doesn’t get at the more granular level of other quality processes such as Quality Matters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Take advantage of more learning analytics/institutional data to better inform the framework</w:t>
            </w:r>
          </w:p>
        </w:tc>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Institutional commitment to sustaining innovation, not just creating innovation, is required </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Victoria University of Wellington, New Zealand</w:t>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Stephen Marshall</w:t>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Using the ACODE benchmarks to guide strategic and operational planning.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Increased scale and impact of digital technologies under constrained budgets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Collaboration within the University and with other universities.</w:t>
            </w:r>
          </w:p>
          <w:p w:rsidR="00000000" w:rsidDel="00000000" w:rsidP="00000000" w:rsidRDefault="00000000" w:rsidRPr="00000000" w14:paraId="0000003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Structured set of questions designed to probe capability without overloading staff involved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widowControl w:val="0"/>
              <w:spacing w:line="240" w:lineRule="auto"/>
              <w:contextualSpacing w:val="0"/>
              <w:rPr>
                <w:color w:val="073763"/>
                <w:sz w:val="20"/>
                <w:szCs w:val="20"/>
              </w:rPr>
            </w:pPr>
            <w:r w:rsidDel="00000000" w:rsidR="00000000" w:rsidRPr="00000000">
              <w:rPr>
                <w:color w:val="073763"/>
                <w:sz w:val="20"/>
                <w:szCs w:val="20"/>
                <w:rtl w:val="0"/>
              </w:rPr>
              <w:t xml:space="preserve">Challenge of sustaining success</w:t>
            </w:r>
          </w:p>
          <w:p w:rsidR="00000000" w:rsidDel="00000000" w:rsidP="00000000" w:rsidRDefault="00000000" w:rsidRPr="00000000" w14:paraId="0000003B">
            <w:pPr>
              <w:widowControl w:val="0"/>
              <w:spacing w:line="240" w:lineRule="auto"/>
              <w:contextualSpacing w:val="0"/>
              <w:rPr>
                <w:color w:val="073763"/>
                <w:sz w:val="20"/>
                <w:szCs w:val="20"/>
              </w:rPr>
            </w:pPr>
            <w:r w:rsidDel="00000000" w:rsidR="00000000" w:rsidRPr="00000000">
              <w:rPr>
                <w:color w:val="073763"/>
                <w:sz w:val="20"/>
                <w:szCs w:val="20"/>
                <w:rtl w:val="0"/>
              </w:rPr>
              <w:t xml:space="preserve">No empirical standards provided as reference points, needs work to provide context for collaboration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3C">
            <w:pPr>
              <w:widowControl w:val="0"/>
              <w:spacing w:line="240" w:lineRule="auto"/>
              <w:contextualSpacing w:val="0"/>
              <w:rPr>
                <w:color w:val="073763"/>
                <w:sz w:val="20"/>
                <w:szCs w:val="20"/>
              </w:rPr>
            </w:pPr>
            <w:r w:rsidDel="00000000" w:rsidR="00000000" w:rsidRPr="00000000">
              <w:rPr>
                <w:color w:val="073763"/>
                <w:sz w:val="20"/>
                <w:szCs w:val="20"/>
                <w:rtl w:val="0"/>
              </w:rPr>
              <w:t xml:space="preserve">More collaborations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D">
            <w:pPr>
              <w:widowControl w:val="0"/>
              <w:spacing w:line="240" w:lineRule="auto"/>
              <w:contextualSpacing w:val="0"/>
              <w:rPr>
                <w:color w:val="073763"/>
                <w:sz w:val="20"/>
                <w:szCs w:val="20"/>
              </w:rPr>
            </w:pPr>
            <w:r w:rsidDel="00000000" w:rsidR="00000000" w:rsidRPr="00000000">
              <w:rPr>
                <w:color w:val="073763"/>
                <w:sz w:val="20"/>
                <w:szCs w:val="20"/>
                <w:rtl w:val="0"/>
              </w:rPr>
              <w:t xml:space="preserve">Needs strong leadership support to actually drive improvement.</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University of Tasmania</w:t>
            </w:r>
          </w:p>
        </w:tc>
        <w:tc>
          <w:tcPr>
            <w:shd w:fill="auto" w:val="clear"/>
            <w:tcMar>
              <w:top w:w="100.0" w:type="dxa"/>
              <w:left w:w="100.0" w:type="dxa"/>
              <w:bottom w:w="100.0" w:type="dxa"/>
              <w:right w:w="100.0" w:type="dxa"/>
            </w:tcMar>
            <w:vAlign w:val="top"/>
          </w:tcPr>
          <w:p w:rsidR="00000000" w:rsidDel="00000000" w:rsidP="00000000" w:rsidRDefault="00000000" w:rsidRPr="00000000" w14:paraId="0000003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Gerry Kregor</w:t>
            </w:r>
          </w:p>
        </w:tc>
        <w:tc>
          <w:tcPr>
            <w:shd w:fill="auto" w:val="clear"/>
            <w:tcMar>
              <w:top w:w="100.0" w:type="dxa"/>
              <w:left w:w="100.0" w:type="dxa"/>
              <w:bottom w:w="100.0" w:type="dxa"/>
              <w:right w:w="100.0" w:type="dxa"/>
            </w:tcMar>
            <w:vAlign w:val="top"/>
          </w:tcPr>
          <w:p w:rsidR="00000000" w:rsidDel="00000000" w:rsidP="00000000" w:rsidRDefault="00000000" w:rsidRPr="00000000" w14:paraId="0000004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Using Quality Matters as a framework for professional development and quality improvement.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4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To improve the student experience of online and blended learning.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4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The QM rubric is strongly research-based and Internationally validated. </w:t>
            </w:r>
          </w:p>
          <w:p w:rsidR="00000000" w:rsidDel="00000000" w:rsidP="00000000" w:rsidRDefault="00000000" w:rsidRPr="00000000" w14:paraId="0000004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p w:rsidR="00000000" w:rsidDel="00000000" w:rsidP="00000000" w:rsidRDefault="00000000" w:rsidRPr="00000000" w14:paraId="0000004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QM offers scalable professional development opportunities that are well aligned with teaching expectations for promotion.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Challenge of sustaining funding (approx 5-10k pa).</w:t>
            </w:r>
          </w:p>
          <w:p w:rsidR="00000000" w:rsidDel="00000000" w:rsidP="00000000" w:rsidRDefault="00000000" w:rsidRPr="00000000" w14:paraId="0000004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p w:rsidR="00000000" w:rsidDel="00000000" w:rsidP="00000000" w:rsidRDefault="00000000" w:rsidRPr="00000000" w14:paraId="0000004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Significant (20 hours) time commitment by staff to professional development.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4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Engagement with QM has created a common understanding of good design and has established a common language for discussing quality.</w:t>
            </w:r>
          </w:p>
          <w:p w:rsidR="00000000" w:rsidDel="00000000" w:rsidP="00000000" w:rsidRDefault="00000000" w:rsidRPr="00000000" w14:paraId="0000004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p w:rsidR="00000000" w:rsidDel="00000000" w:rsidP="00000000" w:rsidRDefault="00000000" w:rsidRPr="00000000" w14:paraId="0000004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Peer review of units to QM standards is a win-win for reviewer and reviewee.</w:t>
            </w:r>
          </w:p>
          <w:p w:rsidR="00000000" w:rsidDel="00000000" w:rsidP="00000000" w:rsidRDefault="00000000" w:rsidRPr="00000000" w14:paraId="0000004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p w:rsidR="00000000" w:rsidDel="00000000" w:rsidP="00000000" w:rsidRDefault="00000000" w:rsidRPr="00000000" w14:paraId="0000004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Customisable for specific focus.</w:t>
            </w:r>
          </w:p>
          <w:p w:rsidR="00000000" w:rsidDel="00000000" w:rsidP="00000000" w:rsidRDefault="00000000" w:rsidRPr="00000000" w14:paraId="0000004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p w:rsidR="00000000" w:rsidDel="00000000" w:rsidP="00000000" w:rsidRDefault="00000000" w:rsidRPr="00000000" w14:paraId="0000004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Opportunities for inter-institutional and international reviews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Reluctance by some to get involved with an ‘American’ program.</w:t>
            </w:r>
          </w:p>
          <w:p w:rsidR="00000000" w:rsidDel="00000000" w:rsidP="00000000" w:rsidRDefault="00000000" w:rsidRPr="00000000" w14:paraId="0000005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p w:rsidR="00000000" w:rsidDel="00000000" w:rsidP="00000000" w:rsidRDefault="00000000" w:rsidRPr="00000000" w14:paraId="0000005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Internal restructures and leadership changes.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5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RMIT University, Melbourne, Australia</w:t>
            </w:r>
          </w:p>
        </w:tc>
        <w:tc>
          <w:tcPr>
            <w:shd w:fill="auto" w:val="clear"/>
            <w:tcMar>
              <w:top w:w="100.0" w:type="dxa"/>
              <w:left w:w="100.0" w:type="dxa"/>
              <w:bottom w:w="100.0" w:type="dxa"/>
              <w:right w:w="100.0" w:type="dxa"/>
            </w:tcMar>
            <w:vAlign w:val="top"/>
          </w:tcPr>
          <w:p w:rsidR="00000000" w:rsidDel="00000000" w:rsidP="00000000" w:rsidRDefault="00000000" w:rsidRPr="00000000" w14:paraId="0000005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Hilary Wheaton and David Hall</w:t>
            </w:r>
          </w:p>
        </w:tc>
        <w:tc>
          <w:tcPr>
            <w:shd w:fill="auto" w:val="clear"/>
            <w:tcMar>
              <w:top w:w="100.0" w:type="dxa"/>
              <w:left w:w="100.0" w:type="dxa"/>
              <w:bottom w:w="100.0" w:type="dxa"/>
              <w:right w:w="100.0" w:type="dxa"/>
            </w:tcMar>
            <w:vAlign w:val="top"/>
          </w:tcPr>
          <w:p w:rsidR="00000000" w:rsidDel="00000000" w:rsidP="00000000" w:rsidRDefault="00000000" w:rsidRPr="00000000" w14:paraId="0000005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RMIT University is currently undertaking a transition from Blackboard to Canvas (LMS). A Digital Learning and Teaching Framework was produced, based on internal consultation and utilising as a reference point ACODE and QM frameworks. As part of the initial application of the framework, mapped to TEQSA requirements and priority student feedback, a baseline of ‘14 Elements for Canvas Success’ was released for courses transitioning to Canvas that provides the basis for a regular ‘go live’ quality assurance process across the University.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05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To improve the quality of courses delivered using RMITs LMS, and provide a solid foundation to support student learning by providing consistent and clear course sites.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Originated from collaboration across University, existing well established frameworks, student and regulatory requirements and caters to the specific context of RMIT. Helps support academic staff in the administrative aspects of teaching, while not restricting opportunities for innovation or alternative teaching practices.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Supporting systems and processes, need to still define and establish a strong form of governance for ongoing success moving forward. </w:t>
            </w:r>
          </w:p>
        </w:tc>
        <w:tc>
          <w:tcPr>
            <w:shd w:fill="auto" w:val="clear"/>
            <w:tcMar>
              <w:top w:w="100.0" w:type="dxa"/>
              <w:left w:w="100.0" w:type="dxa"/>
              <w:bottom w:w="100.0" w:type="dxa"/>
              <w:right w:w="100.0" w:type="dxa"/>
            </w:tcMar>
            <w:vAlign w:val="top"/>
          </w:tcPr>
          <w:p w:rsidR="00000000" w:rsidDel="00000000" w:rsidP="00000000" w:rsidRDefault="00000000" w:rsidRPr="00000000" w14:paraId="0000005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Guidance for staff on often overlooked administrative basics, easy to follow method to improve identified student feedback issues, integration of quality process with introduction of new LMS to capitalise on affordances offered by technology, prompts reevaluation of existing processes and systems that hinder quality. </w:t>
            </w:r>
          </w:p>
        </w:tc>
        <w:tc>
          <w:tcPr>
            <w:shd w:fill="auto" w:val="clear"/>
            <w:tcMar>
              <w:top w:w="100.0" w:type="dxa"/>
              <w:left w:w="100.0" w:type="dxa"/>
              <w:bottom w:w="100.0" w:type="dxa"/>
              <w:right w:w="100.0" w:type="dxa"/>
            </w:tcMar>
            <w:vAlign w:val="top"/>
          </w:tcPr>
          <w:p w:rsidR="00000000" w:rsidDel="00000000" w:rsidP="00000000" w:rsidRDefault="00000000" w:rsidRPr="00000000" w14:paraId="0000005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EBA and workload aspects - especially in regards to VE staff and the additional requirements in the move to Canvas. Significant cultural as well as technical change occurring simultaneously, and need for processes and systems to be quick to facilitate transition.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5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National Centre for Student Equity in Higher Education, Australia</w:t>
            </w:r>
          </w:p>
        </w:tc>
        <w:tc>
          <w:tcPr>
            <w:shd w:fill="auto" w:val="clear"/>
            <w:tcMar>
              <w:top w:w="100.0" w:type="dxa"/>
              <w:left w:w="100.0" w:type="dxa"/>
              <w:bottom w:w="100.0" w:type="dxa"/>
              <w:right w:w="100.0" w:type="dxa"/>
            </w:tcMar>
            <w:vAlign w:val="top"/>
          </w:tcPr>
          <w:p w:rsidR="00000000" w:rsidDel="00000000" w:rsidP="00000000" w:rsidRDefault="00000000" w:rsidRPr="00000000" w14:paraId="0000005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Cathy Stone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05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Research project on current practices in online education that support/improve outcomes for online students, particularly undergraduate domestic students. Interviews conducted at 15 Australian Higher Education institutions and the Open University UK, with 151 participants (academic &amp; professional staff). Full report incl. Key findings and Guidelines available at: </w:t>
            </w:r>
            <w:hyperlink r:id="rId13">
              <w:r w:rsidDel="00000000" w:rsidR="00000000" w:rsidRPr="00000000">
                <w:rPr>
                  <w:color w:val="1155cc"/>
                  <w:sz w:val="20"/>
                  <w:szCs w:val="20"/>
                  <w:u w:val="single"/>
                  <w:rtl w:val="0"/>
                </w:rPr>
                <w:t xml:space="preserve">https://www.ncsehe.edu.au/publications/opportunity-online-learning-improving-student-access-participation-success-higher-education/</w:t>
              </w:r>
            </w:hyperlink>
            <w:r w:rsidDel="00000000" w:rsidR="00000000" w:rsidRPr="00000000">
              <w:rPr>
                <w:rtl w:val="0"/>
              </w:rPr>
            </w:r>
          </w:p>
          <w:p w:rsidR="00000000" w:rsidDel="00000000" w:rsidP="00000000" w:rsidRDefault="00000000" w:rsidRPr="00000000" w14:paraId="0000005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E">
            <w:pPr>
              <w:widowControl w:val="0"/>
              <w:spacing w:line="240" w:lineRule="auto"/>
              <w:contextualSpacing w:val="0"/>
              <w:rPr>
                <w:color w:val="073763"/>
                <w:sz w:val="20"/>
                <w:szCs w:val="20"/>
              </w:rPr>
            </w:pPr>
            <w:r w:rsidDel="00000000" w:rsidR="00000000" w:rsidRPr="00000000">
              <w:rPr>
                <w:color w:val="073763"/>
                <w:sz w:val="20"/>
                <w:szCs w:val="20"/>
                <w:rtl w:val="0"/>
              </w:rPr>
              <w:t xml:space="preserve">To develop National Guidelines for improving students outcomes in online learning; aimed at changing/improving institutional practices</w:t>
            </w:r>
          </w:p>
          <w:p w:rsidR="00000000" w:rsidDel="00000000" w:rsidP="00000000" w:rsidRDefault="00000000" w:rsidRPr="00000000" w14:paraId="0000005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Brought together the ‘combined wisdom’ of online educators and practitioners, across a wide range of Australian universities and the leading UK university for distance/online education; along with other research findings on what online students want and need to help them to persist and succeed.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6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Limited evaluation of practices discussed.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6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Guidelines provide a practical direction for institutions to take, to improve the online student experience.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6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While the findings and guidelines have been welcomed by educators and practitioners working with online students, persuading senior exec levels of universities to change their practices may be more difficult, particularly as more resources would need to be deployed. </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6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ascilite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6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Dominique Parrish and Allan Christie presented on this at ascilite17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06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hyperlink r:id="rId14">
              <w:r w:rsidDel="00000000" w:rsidR="00000000" w:rsidRPr="00000000">
                <w:rPr>
                  <w:color w:val="1155cc"/>
                  <w:sz w:val="20"/>
                  <w:szCs w:val="20"/>
                  <w:u w:val="single"/>
                  <w:rtl w:val="0"/>
                </w:rPr>
                <w:t xml:space="preserve">Assuring quality online learning: The ASCILITE Technology Enhanced Learning Accreditation Scheme (TELAS)</w:t>
              </w:r>
            </w:hyperlink>
            <w:r w:rsidDel="00000000" w:rsidR="00000000" w:rsidRPr="00000000">
              <w:rPr>
                <w:rtl w:val="0"/>
              </w:rPr>
            </w:r>
          </w:p>
          <w:p w:rsidR="00000000" w:rsidDel="00000000" w:rsidP="00000000" w:rsidRDefault="00000000" w:rsidRPr="00000000" w14:paraId="0000006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color w:val="073763"/>
                <w:sz w:val="20"/>
                <w:szCs w:val="20"/>
                <w:rtl w:val="0"/>
              </w:rPr>
              <w:t xml:space="preserve">Under development</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6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7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7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8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8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9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9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A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A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073763"/>
                <w:sz w:val="20"/>
                <w:szCs w:val="20"/>
              </w:rPr>
            </w:pPr>
            <w:r w:rsidDel="00000000" w:rsidR="00000000" w:rsidRPr="00000000">
              <w:rPr>
                <w:rtl w:val="0"/>
              </w:rPr>
            </w:r>
          </w:p>
        </w:tc>
      </w:tr>
    </w:tbl>
    <w:p w:rsidR="00000000" w:rsidDel="00000000" w:rsidP="00000000" w:rsidRDefault="00000000" w:rsidRPr="00000000" w14:paraId="000000B5">
      <w:pPr>
        <w:contextualSpacing w:val="0"/>
        <w:rPr>
          <w:color w:val="073763"/>
        </w:rPr>
      </w:pPr>
      <w:r w:rsidDel="00000000" w:rsidR="00000000" w:rsidRPr="00000000">
        <w:rPr>
          <w:color w:val="073763"/>
          <w:rtl w:val="0"/>
        </w:rPr>
        <w:t xml:space="preserve"> </w:t>
      </w:r>
      <w:r w:rsidDel="00000000" w:rsidR="00000000" w:rsidRPr="00000000">
        <w:rPr>
          <w:rtl w:val="0"/>
        </w:rPr>
      </w:r>
    </w:p>
    <w:sectPr>
      <w:headerReference r:id="rId15" w:type="default"/>
      <w:headerReference r:id="rId16" w:type="first"/>
      <w:footerReference r:id="rId17" w:type="default"/>
      <w:footerReference r:id="rId18" w:type="first"/>
      <w:pgSz w:h="12240" w:w="15840"/>
      <w:pgMar w:bottom="1440" w:top="1440" w:left="1440" w:right="1440" w:header="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2">
    <w:pPr>
      <w:contextualSpacing w:val="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4">
    <w:pPr>
      <w:contextualSpacing w:val="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6">
    <w:pPr>
      <w:contextualSpacing w:val="0"/>
      <w:rPr>
        <w:color w:val="073763"/>
      </w:rPr>
    </w:pPr>
    <w:r w:rsidDel="00000000" w:rsidR="00000000" w:rsidRPr="00000000">
      <w:rPr>
        <w:rtl w:val="0"/>
      </w:rPr>
    </w:r>
  </w:p>
  <w:tbl>
    <w:tblPr>
      <w:tblStyle w:val="Table2"/>
      <w:tblW w:w="15045.0" w:type="dxa"/>
      <w:jc w:val="left"/>
      <w:tblInd w:w="-93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00"/>
      <w:gridCol w:w="1275"/>
      <w:gridCol w:w="3255"/>
      <w:gridCol w:w="1380"/>
      <w:gridCol w:w="1815"/>
      <w:gridCol w:w="1845"/>
      <w:gridCol w:w="2025"/>
      <w:gridCol w:w="1950"/>
      <w:tblGridChange w:id="0">
        <w:tblGrid>
          <w:gridCol w:w="1500"/>
          <w:gridCol w:w="1275"/>
          <w:gridCol w:w="3255"/>
          <w:gridCol w:w="1380"/>
          <w:gridCol w:w="1815"/>
          <w:gridCol w:w="1845"/>
          <w:gridCol w:w="2025"/>
          <w:gridCol w:w="1950"/>
        </w:tblGrid>
      </w:tblGridChange>
    </w:tblGrid>
    <w:tr>
      <w:tc>
        <w:tcPr>
          <w:shd w:fill="cfe2f3" w:val="clear"/>
          <w:tcMar>
            <w:top w:w="100.0" w:type="dxa"/>
            <w:left w:w="100.0" w:type="dxa"/>
            <w:bottom w:w="100.0" w:type="dxa"/>
            <w:right w:w="100.0" w:type="dxa"/>
          </w:tcMar>
          <w:vAlign w:val="top"/>
        </w:tcPr>
        <w:p w:rsidR="00000000" w:rsidDel="00000000" w:rsidP="00000000" w:rsidRDefault="00000000" w:rsidRPr="00000000" w14:paraId="000000B7">
          <w:pPr>
            <w:widowControl w:val="0"/>
            <w:spacing w:line="240" w:lineRule="auto"/>
            <w:contextualSpacing w:val="0"/>
            <w:jc w:val="center"/>
            <w:rPr>
              <w:b w:val="1"/>
              <w:color w:val="073763"/>
              <w:sz w:val="20"/>
              <w:szCs w:val="20"/>
            </w:rPr>
          </w:pPr>
          <w:r w:rsidDel="00000000" w:rsidR="00000000" w:rsidRPr="00000000">
            <w:rPr>
              <w:b w:val="1"/>
              <w:color w:val="073763"/>
              <w:sz w:val="20"/>
              <w:szCs w:val="20"/>
              <w:rtl w:val="0"/>
            </w:rPr>
            <w:t xml:space="preserve">Institution</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B8">
          <w:pPr>
            <w:widowControl w:val="0"/>
            <w:spacing w:line="240" w:lineRule="auto"/>
            <w:contextualSpacing w:val="0"/>
            <w:jc w:val="center"/>
            <w:rPr>
              <w:b w:val="1"/>
              <w:color w:val="073763"/>
              <w:sz w:val="20"/>
              <w:szCs w:val="20"/>
            </w:rPr>
          </w:pPr>
          <w:r w:rsidDel="00000000" w:rsidR="00000000" w:rsidRPr="00000000">
            <w:rPr>
              <w:b w:val="1"/>
              <w:color w:val="073763"/>
              <w:sz w:val="20"/>
              <w:szCs w:val="20"/>
              <w:rtl w:val="0"/>
            </w:rPr>
            <w:t xml:space="preserve">Your name</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B9">
          <w:pPr>
            <w:widowControl w:val="0"/>
            <w:spacing w:line="240" w:lineRule="auto"/>
            <w:contextualSpacing w:val="0"/>
            <w:jc w:val="center"/>
            <w:rPr>
              <w:b w:val="1"/>
              <w:color w:val="1f4e79"/>
              <w:sz w:val="20"/>
              <w:szCs w:val="20"/>
            </w:rPr>
          </w:pPr>
          <w:r w:rsidDel="00000000" w:rsidR="00000000" w:rsidRPr="00000000">
            <w:rPr>
              <w:b w:val="1"/>
              <w:color w:val="1f4e79"/>
              <w:sz w:val="20"/>
              <w:szCs w:val="20"/>
              <w:rtl w:val="0"/>
            </w:rPr>
            <w:t xml:space="preserve">Description of Quality initiative</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BA">
          <w:pPr>
            <w:widowControl w:val="0"/>
            <w:spacing w:line="240" w:lineRule="auto"/>
            <w:contextualSpacing w:val="0"/>
            <w:jc w:val="center"/>
            <w:rPr>
              <w:b w:val="1"/>
              <w:color w:val="1f4e79"/>
              <w:sz w:val="20"/>
              <w:szCs w:val="20"/>
            </w:rPr>
          </w:pPr>
          <w:r w:rsidDel="00000000" w:rsidR="00000000" w:rsidRPr="00000000">
            <w:rPr>
              <w:b w:val="1"/>
              <w:color w:val="1f4e79"/>
              <w:sz w:val="20"/>
              <w:szCs w:val="20"/>
              <w:rtl w:val="0"/>
            </w:rPr>
            <w:t xml:space="preserve">Aim</w:t>
          </w:r>
        </w:p>
        <w:p w:rsidR="00000000" w:rsidDel="00000000" w:rsidP="00000000" w:rsidRDefault="00000000" w:rsidRPr="00000000" w14:paraId="000000BB">
          <w:pPr>
            <w:widowControl w:val="0"/>
            <w:spacing w:line="240" w:lineRule="auto"/>
            <w:contextualSpacing w:val="0"/>
            <w:jc w:val="center"/>
            <w:rPr>
              <w:b w:val="1"/>
              <w:color w:val="073763"/>
              <w:sz w:val="20"/>
              <w:szCs w:val="20"/>
            </w:rPr>
          </w:pPr>
          <w:r w:rsidDel="00000000" w:rsidR="00000000" w:rsidRPr="00000000">
            <w:rPr>
              <w:rtl w:val="0"/>
            </w:rPr>
          </w:r>
        </w:p>
      </w:tc>
      <w:tc>
        <w:tcPr>
          <w:shd w:fill="cfe2f3" w:val="clear"/>
          <w:tcMar>
            <w:top w:w="100.0" w:type="dxa"/>
            <w:left w:w="100.0" w:type="dxa"/>
            <w:bottom w:w="100.0" w:type="dxa"/>
            <w:right w:w="100.0" w:type="dxa"/>
          </w:tcMar>
          <w:vAlign w:val="top"/>
        </w:tcPr>
        <w:p w:rsidR="00000000" w:rsidDel="00000000" w:rsidP="00000000" w:rsidRDefault="00000000" w:rsidRPr="00000000" w14:paraId="000000BC">
          <w:pPr>
            <w:widowControl w:val="0"/>
            <w:spacing w:line="240" w:lineRule="auto"/>
            <w:contextualSpacing w:val="0"/>
            <w:jc w:val="center"/>
            <w:rPr>
              <w:b w:val="1"/>
              <w:color w:val="1f4e79"/>
              <w:sz w:val="20"/>
              <w:szCs w:val="20"/>
            </w:rPr>
          </w:pPr>
          <w:r w:rsidDel="00000000" w:rsidR="00000000" w:rsidRPr="00000000">
            <w:rPr>
              <w:b w:val="1"/>
              <w:color w:val="1f4e79"/>
              <w:sz w:val="20"/>
              <w:szCs w:val="20"/>
              <w:rtl w:val="0"/>
            </w:rPr>
            <w:t xml:space="preserve">Strengths</w:t>
          </w:r>
        </w:p>
        <w:p w:rsidR="00000000" w:rsidDel="00000000" w:rsidP="00000000" w:rsidRDefault="00000000" w:rsidRPr="00000000" w14:paraId="000000BD">
          <w:pPr>
            <w:widowControl w:val="0"/>
            <w:spacing w:line="240" w:lineRule="auto"/>
            <w:contextualSpacing w:val="0"/>
            <w:jc w:val="center"/>
            <w:rPr>
              <w:b w:val="1"/>
              <w:color w:val="073763"/>
              <w:sz w:val="20"/>
              <w:szCs w:val="20"/>
            </w:rPr>
          </w:pPr>
          <w:r w:rsidDel="00000000" w:rsidR="00000000" w:rsidRPr="00000000">
            <w:rPr>
              <w:rtl w:val="0"/>
            </w:rPr>
          </w:r>
        </w:p>
      </w:tc>
      <w:tc>
        <w:tcPr>
          <w:shd w:fill="cfe2f3" w:val="clear"/>
          <w:tcMar>
            <w:top w:w="100.0" w:type="dxa"/>
            <w:left w:w="100.0" w:type="dxa"/>
            <w:bottom w:w="100.0" w:type="dxa"/>
            <w:right w:w="100.0" w:type="dxa"/>
          </w:tcMar>
          <w:vAlign w:val="top"/>
        </w:tcPr>
        <w:p w:rsidR="00000000" w:rsidDel="00000000" w:rsidP="00000000" w:rsidRDefault="00000000" w:rsidRPr="00000000" w14:paraId="000000BE">
          <w:pPr>
            <w:widowControl w:val="0"/>
            <w:spacing w:line="240" w:lineRule="auto"/>
            <w:contextualSpacing w:val="0"/>
            <w:jc w:val="center"/>
            <w:rPr>
              <w:b w:val="1"/>
              <w:color w:val="1f4e79"/>
              <w:sz w:val="20"/>
              <w:szCs w:val="20"/>
            </w:rPr>
          </w:pPr>
          <w:r w:rsidDel="00000000" w:rsidR="00000000" w:rsidRPr="00000000">
            <w:rPr>
              <w:b w:val="1"/>
              <w:color w:val="1f4e79"/>
              <w:sz w:val="20"/>
              <w:szCs w:val="20"/>
              <w:rtl w:val="0"/>
            </w:rPr>
            <w:t xml:space="preserve">Weaknesses</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BF">
          <w:pPr>
            <w:widowControl w:val="0"/>
            <w:spacing w:line="240" w:lineRule="auto"/>
            <w:contextualSpacing w:val="0"/>
            <w:jc w:val="center"/>
            <w:rPr>
              <w:b w:val="1"/>
              <w:color w:val="1f4e79"/>
              <w:sz w:val="20"/>
              <w:szCs w:val="20"/>
            </w:rPr>
          </w:pPr>
          <w:r w:rsidDel="00000000" w:rsidR="00000000" w:rsidRPr="00000000">
            <w:rPr>
              <w:b w:val="1"/>
              <w:color w:val="1f4e79"/>
              <w:sz w:val="20"/>
              <w:szCs w:val="20"/>
              <w:rtl w:val="0"/>
            </w:rPr>
            <w:t xml:space="preserve">Opportunities</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C0">
          <w:pPr>
            <w:widowControl w:val="0"/>
            <w:spacing w:line="240" w:lineRule="auto"/>
            <w:contextualSpacing w:val="0"/>
            <w:jc w:val="center"/>
            <w:rPr>
              <w:b w:val="1"/>
              <w:color w:val="1f4e79"/>
              <w:sz w:val="20"/>
              <w:szCs w:val="20"/>
            </w:rPr>
          </w:pPr>
          <w:r w:rsidDel="00000000" w:rsidR="00000000" w:rsidRPr="00000000">
            <w:rPr>
              <w:b w:val="1"/>
              <w:color w:val="1f4e79"/>
              <w:sz w:val="20"/>
              <w:szCs w:val="20"/>
              <w:rtl w:val="0"/>
            </w:rPr>
            <w:t xml:space="preserve">Threats</w:t>
          </w:r>
        </w:p>
      </w:tc>
    </w:tr>
  </w:tbl>
  <w:p w:rsidR="00000000" w:rsidDel="00000000" w:rsidP="00000000" w:rsidRDefault="00000000" w:rsidRPr="00000000" w14:paraId="000000C1">
    <w:pPr>
      <w:contextualSpacing w:val="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3">
    <w:pPr>
      <w:contextualSpacing w:val="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docs.google.com/presentation/d/1mUjCYV649OH4ern-PU7y4ddZAvYuGJQscETQCp7JjKc/edit?usp=sharing" TargetMode="External"/><Relationship Id="rId10" Type="http://schemas.openxmlformats.org/officeDocument/2006/relationships/hyperlink" Target="https://docs.google.com/presentation/d/1QiEPsYHoNEKzCVH2iclhIk7uFx-UoaW13qlNKUdFKVY/edit?usp=sharing" TargetMode="External"/><Relationship Id="rId13" Type="http://schemas.openxmlformats.org/officeDocument/2006/relationships/hyperlink" Target="https://www.ncsehe.edu.au/publications/opportunity-online-learning-improving-student-access-participation-success-higher-education/" TargetMode="External"/><Relationship Id="rId12" Type="http://schemas.openxmlformats.org/officeDocument/2006/relationships/hyperlink" Target="https://docs.google.com/presentation/d/1dFCBodtbOZuwiEGhmJ6WyByCJ7xwkNragd3fc1O14H0/edit?usp=sharin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ocs.google.com/presentation/d/1QiEPsYHoNEKzCVH2iclhIk7uFx-UoaW13qlNKUdFKVY/edit?usp=sharing" TargetMode="External"/><Relationship Id="rId15" Type="http://schemas.openxmlformats.org/officeDocument/2006/relationships/header" Target="header1.xml"/><Relationship Id="rId14" Type="http://schemas.openxmlformats.org/officeDocument/2006/relationships/hyperlink" Target="http://2017conference.ascilite.org/program/assuring-quality-online-learning-the-ascilite-technology-enhanced-learning-accreditation-scheme-telas/" TargetMode="External"/><Relationship Id="rId17" Type="http://schemas.openxmlformats.org/officeDocument/2006/relationships/footer" Target="footer1.xml"/><Relationship Id="rId16" Type="http://schemas.openxmlformats.org/officeDocument/2006/relationships/header" Target="header2.xml"/><Relationship Id="rId5" Type="http://schemas.openxmlformats.org/officeDocument/2006/relationships/styles" Target="styles.xml"/><Relationship Id="rId6" Type="http://schemas.openxmlformats.org/officeDocument/2006/relationships/hyperlink" Target="https://tinyurl.com/qualityhighered" TargetMode="External"/><Relationship Id="rId18" Type="http://schemas.openxmlformats.org/officeDocument/2006/relationships/footer" Target="footer2.xml"/><Relationship Id="rId7" Type="http://schemas.openxmlformats.org/officeDocument/2006/relationships/hyperlink" Target="https://youtu.be/j69QiNJco-c" TargetMode="External"/><Relationship Id="rId8" Type="http://schemas.openxmlformats.org/officeDocument/2006/relationships/hyperlink" Target="https://docs.google.com/presentation/d/17SiTM_6T0ZTeMQqv1CMOMvjiFqzqb5oGxDqXpf_XdUU/edit?usp=shar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